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ind w:firstLine="0" w:firstLineChars="0"/>
        <w:jc w:val="center"/>
        <w:outlineLvl w:val="0"/>
        <w:rPr>
          <w:rFonts w:ascii="宋体" w:hAnsi="宋体" w:eastAsia="宋体" w:cs="宋体"/>
          <w:bCs/>
          <w:sz w:val="36"/>
          <w:szCs w:val="36"/>
          <w:lang w:val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空港产业联用中心造价（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概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算）审核报告</w:t>
      </w:r>
    </w:p>
    <w:p>
      <w:pPr>
        <w:ind w:firstLine="0" w:firstLineChars="0"/>
        <w:rPr>
          <w:rFonts w:ascii="宋体" w:hAnsi="宋体" w:cs="宋体"/>
          <w:b w:val="0"/>
          <w:bCs w:val="0"/>
          <w:color w:val="FF0000"/>
          <w:szCs w:val="28"/>
        </w:rPr>
      </w:pPr>
      <w:r>
        <w:rPr>
          <w:rFonts w:hint="eastAsia" w:ascii="宋体" w:hAnsi="宋体"/>
          <w:b w:val="0"/>
          <w:bCs w:val="0"/>
          <w:color w:val="auto"/>
        </w:rPr>
        <w:t>湛江市空港经济区发展有限公司</w:t>
      </w:r>
      <w:r>
        <w:rPr>
          <w:rFonts w:hint="eastAsia" w:ascii="宋体" w:hAnsi="宋体" w:cs="宋体"/>
          <w:b w:val="0"/>
          <w:bCs w:val="0"/>
          <w:color w:val="auto"/>
          <w:szCs w:val="28"/>
        </w:rPr>
        <w:t>：</w:t>
      </w:r>
    </w:p>
    <w:p>
      <w:pPr>
        <w:ind w:right="42" w:rightChars="15" w:firstLine="560"/>
      </w:pPr>
      <w:r>
        <w:rPr>
          <w:rFonts w:hint="eastAsia" w:ascii="宋体" w:hAnsi="宋体"/>
        </w:rPr>
        <w:t>根据贵司的委托，我</w:t>
      </w:r>
      <w:r>
        <w:rPr>
          <w:rFonts w:hint="eastAsia"/>
        </w:rPr>
        <w:t>单位对空港产业联用中心</w:t>
      </w:r>
      <w:r>
        <w:rPr>
          <w:rFonts w:hint="eastAsia"/>
          <w:lang w:val="en-US" w:eastAsia="zh-CN"/>
        </w:rPr>
        <w:t>概</w:t>
      </w:r>
      <w:r>
        <w:rPr>
          <w:rFonts w:hint="eastAsia"/>
        </w:rPr>
        <w:t>算进行了审核，本次</w:t>
      </w:r>
      <w:r>
        <w:rPr>
          <w:rFonts w:hint="eastAsia"/>
          <w:lang w:val="en-US" w:eastAsia="zh-CN"/>
        </w:rPr>
        <w:t>概</w:t>
      </w:r>
      <w:r>
        <w:rPr>
          <w:rFonts w:hint="eastAsia"/>
        </w:rPr>
        <w:t>算审核是在项目建设单位提供的相关资料基础上进行</w:t>
      </w:r>
      <w:r>
        <w:rPr>
          <w:rFonts w:hint="eastAsia" w:ascii="宋体" w:hAnsi="宋体"/>
        </w:rPr>
        <w:t>的，项目建设单位对其提供资料的真实性、完整性和有效性负责。现将</w:t>
      </w:r>
      <w:r>
        <w:rPr>
          <w:rFonts w:hint="eastAsia" w:ascii="宋体" w:hAnsi="宋体"/>
          <w:lang w:val="en-US" w:eastAsia="zh-CN"/>
        </w:rPr>
        <w:t>概</w:t>
      </w:r>
      <w:r>
        <w:rPr>
          <w:rFonts w:hint="eastAsia" w:ascii="宋体" w:hAnsi="宋体"/>
        </w:rPr>
        <w:t>算审核情况报告如下：</w:t>
      </w:r>
    </w:p>
    <w:p>
      <w:pPr>
        <w:pStyle w:val="3"/>
      </w:pPr>
      <w:r>
        <w:rPr>
          <w:rFonts w:hint="eastAsia"/>
        </w:rPr>
        <w:t>项目概况</w:t>
      </w:r>
    </w:p>
    <w:p>
      <w:pPr>
        <w:pStyle w:val="5"/>
        <w:numPr>
          <w:ilvl w:val="2"/>
          <w:numId w:val="0"/>
        </w:numPr>
        <w:spacing w:before="156" w:after="156"/>
        <w:ind w:firstLine="562" w:firstLineChars="200"/>
        <w:jc w:val="both"/>
        <w:rPr>
          <w:rFonts w:hint="default" w:ascii="宋体" w:hAnsi="宋体"/>
        </w:rPr>
      </w:pPr>
      <w:r>
        <w:rPr>
          <w:rFonts w:ascii="宋体" w:hAnsi="宋体"/>
        </w:rPr>
        <w:t>（一）工程名称</w:t>
      </w:r>
    </w:p>
    <w:p>
      <w:pPr>
        <w:pStyle w:val="2"/>
        <w:ind w:firstLine="560"/>
        <w:jc w:val="left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1.空港产业联用中心。</w:t>
      </w:r>
    </w:p>
    <w:p>
      <w:pPr>
        <w:pStyle w:val="5"/>
        <w:numPr>
          <w:ilvl w:val="2"/>
          <w:numId w:val="0"/>
        </w:numPr>
        <w:spacing w:before="156" w:after="156"/>
        <w:ind w:firstLine="562" w:firstLineChars="200"/>
        <w:jc w:val="both"/>
        <w:rPr>
          <w:rFonts w:hint="default" w:ascii="宋体" w:hAnsi="宋体"/>
        </w:rPr>
      </w:pPr>
      <w:r>
        <w:rPr>
          <w:rFonts w:ascii="宋体" w:hAnsi="宋体"/>
        </w:rPr>
        <w:t>（二）建设单位</w:t>
      </w:r>
    </w:p>
    <w:p>
      <w:pPr>
        <w:pStyle w:val="2"/>
        <w:ind w:firstLine="560"/>
        <w:jc w:val="left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1.湛江市空港经济区发展有限公司。</w:t>
      </w:r>
    </w:p>
    <w:p>
      <w:pPr>
        <w:pStyle w:val="5"/>
        <w:numPr>
          <w:ilvl w:val="2"/>
          <w:numId w:val="0"/>
        </w:numPr>
        <w:spacing w:before="156" w:after="156"/>
        <w:ind w:firstLine="562" w:firstLineChars="200"/>
        <w:jc w:val="both"/>
        <w:rPr>
          <w:rFonts w:ascii="宋体" w:hAnsi="宋体"/>
        </w:rPr>
      </w:pPr>
      <w:r>
        <w:rPr>
          <w:rFonts w:ascii="宋体" w:hAnsi="宋体"/>
        </w:rPr>
        <w:t>（三）工程概述</w:t>
      </w:r>
    </w:p>
    <w:p>
      <w:pPr>
        <w:numPr>
          <w:ilvl w:val="0"/>
          <w:numId w:val="2"/>
        </w:numPr>
        <w:ind w:left="0" w:leftChars="0" w:right="42" w:rightChars="15" w:firstLine="560" w:firstLineChars="200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工程概况：本项目为钢结构、幕墙工程，基础采用独立基础，建筑面积1432</w:t>
      </w:r>
      <w:r>
        <w:rPr>
          <w:rFonts w:hint="eastAsia" w:ascii="宋体" w:hAnsi="宋体" w:eastAsia="宋体" w:cs="宋体"/>
          <w:lang w:val="en-US" w:eastAsia="zh-CN"/>
        </w:rPr>
        <w:t>㎡</w:t>
      </w:r>
      <w:r>
        <w:rPr>
          <w:rFonts w:hint="eastAsia" w:ascii="宋体" w:hAnsi="宋体" w:cs="宋体"/>
          <w:lang w:val="en-US" w:eastAsia="zh-CN"/>
        </w:rPr>
        <w:t>,</w:t>
      </w:r>
      <w:r>
        <w:rPr>
          <w:rFonts w:hint="eastAsia" w:ascii="宋体" w:hAnsi="宋体"/>
          <w:lang w:val="en-US" w:eastAsia="zh-CN"/>
        </w:rPr>
        <w:t>建筑高度: 10 m,建筑层数: 1层,局部2层。</w:t>
      </w:r>
    </w:p>
    <w:p>
      <w:pPr>
        <w:numPr>
          <w:ilvl w:val="0"/>
          <w:numId w:val="2"/>
        </w:numPr>
        <w:ind w:left="0" w:leftChars="0" w:right="42" w:rightChars="15" w:firstLine="560" w:firstLineChars="200"/>
        <w:rPr>
          <w:rFonts w:ascii="宋体" w:hAnsi="宋体"/>
          <w:szCs w:val="28"/>
        </w:rPr>
      </w:pPr>
      <w:r>
        <w:rPr>
          <w:rFonts w:hint="eastAsia" w:ascii="宋体" w:hAnsi="宋体"/>
        </w:rPr>
        <w:t>工作内容：本项目包含土建、园林绿化及水电安装工程。土建部分包括</w:t>
      </w:r>
      <w:r>
        <w:rPr>
          <w:rFonts w:hint="eastAsia" w:ascii="宋体" w:hAnsi="宋体"/>
          <w:lang w:val="en-US" w:eastAsia="zh-CN"/>
        </w:rPr>
        <w:t>独立基础</w:t>
      </w:r>
      <w:r>
        <w:rPr>
          <w:rFonts w:hint="eastAsia" w:ascii="宋体" w:hAnsi="宋体"/>
        </w:rPr>
        <w:t>、基础梁、铝板幕墙、玻璃幕墙、砌块墙、园建道路铺砖等；园林部分包括绿地种植等；安装部分包括变配电系统及应急配电系统、配电系统、照明、防雷接地、室外消火栓系统、灭火器、室内外生活给水系统、雨水排水系统、污废水排水系统等</w:t>
      </w:r>
      <w:r>
        <w:rPr>
          <w:rFonts w:hint="eastAsia" w:ascii="宋体" w:hAnsi="宋体"/>
          <w:szCs w:val="28"/>
        </w:rPr>
        <w:t>。</w:t>
      </w:r>
    </w:p>
    <w:p>
      <w:pPr>
        <w:pStyle w:val="5"/>
        <w:numPr>
          <w:ilvl w:val="2"/>
          <w:numId w:val="0"/>
        </w:numPr>
        <w:spacing w:before="156" w:after="156"/>
        <w:ind w:firstLine="562" w:firstLineChars="200"/>
        <w:jc w:val="both"/>
        <w:rPr>
          <w:rFonts w:hint="default" w:ascii="宋体" w:hAnsi="宋体"/>
        </w:rPr>
      </w:pPr>
      <w:r>
        <w:rPr>
          <w:rFonts w:ascii="宋体" w:hAnsi="宋体"/>
        </w:rPr>
        <w:t>（四）工程范围</w:t>
      </w:r>
    </w:p>
    <w:p>
      <w:pPr>
        <w:pStyle w:val="2"/>
        <w:ind w:left="560" w:leftChars="200" w:firstLine="0" w:firstLineChars="0"/>
        <w:jc w:val="left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1.土建、安装、消防、通风空调及</w:t>
      </w:r>
      <w:r>
        <w:rPr>
          <w:rFonts w:hint="eastAsia" w:ascii="宋体" w:hAnsi="宋体" w:eastAsia="宋体"/>
          <w:sz w:val="28"/>
          <w:lang w:val="en-US" w:eastAsia="zh-CN"/>
        </w:rPr>
        <w:t>园林</w:t>
      </w:r>
      <w:r>
        <w:rPr>
          <w:rFonts w:hint="eastAsia" w:ascii="宋体" w:hAnsi="宋体" w:eastAsia="宋体"/>
          <w:sz w:val="28"/>
        </w:rPr>
        <w:t>绿化工程。</w:t>
      </w:r>
    </w:p>
    <w:p>
      <w:pPr>
        <w:pStyle w:val="5"/>
        <w:numPr>
          <w:ilvl w:val="2"/>
          <w:numId w:val="0"/>
        </w:numPr>
        <w:spacing w:before="156" w:after="156"/>
        <w:ind w:firstLine="562" w:firstLineChars="200"/>
        <w:jc w:val="both"/>
        <w:rPr>
          <w:rFonts w:hint="default" w:ascii="宋体" w:hAnsi="宋体"/>
        </w:rPr>
      </w:pPr>
      <w:r>
        <w:rPr>
          <w:rFonts w:ascii="宋体" w:hAnsi="宋体"/>
        </w:rPr>
        <w:t>（五）建设地点</w:t>
      </w:r>
    </w:p>
    <w:p>
      <w:pPr>
        <w:pStyle w:val="2"/>
        <w:ind w:left="560" w:leftChars="200" w:firstLine="0" w:firstLineChars="0"/>
        <w:jc w:val="left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1.</w:t>
      </w:r>
      <w:r>
        <w:rPr>
          <w:rFonts w:hint="eastAsia" w:ascii="宋体" w:hAnsi="宋体" w:eastAsia="宋体"/>
          <w:sz w:val="28"/>
          <w:szCs w:val="28"/>
        </w:rPr>
        <w:t>广东省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吴川市</w:t>
      </w:r>
      <w:r>
        <w:rPr>
          <w:rFonts w:hint="eastAsia" w:ascii="宋体" w:hAnsi="宋体" w:eastAsia="宋体"/>
          <w:sz w:val="28"/>
        </w:rPr>
        <w:t>。</w:t>
      </w:r>
    </w:p>
    <w:p>
      <w:pPr>
        <w:pStyle w:val="3"/>
      </w:pPr>
      <w:r>
        <w:rPr>
          <w:rFonts w:hint="eastAsia" w:ascii="宋体" w:hAnsi="宋体"/>
        </w:rPr>
        <w:t>审核依据</w:t>
      </w:r>
    </w:p>
    <w:p>
      <w:pPr>
        <w:pStyle w:val="5"/>
        <w:numPr>
          <w:ilvl w:val="2"/>
          <w:numId w:val="0"/>
        </w:numPr>
        <w:spacing w:before="156" w:after="156"/>
        <w:ind w:firstLine="562" w:firstLineChars="200"/>
        <w:jc w:val="both"/>
        <w:rPr>
          <w:rFonts w:hint="default" w:ascii="宋体" w:hAnsi="宋体"/>
        </w:rPr>
      </w:pPr>
      <w:r>
        <w:rPr>
          <w:rFonts w:ascii="宋体" w:hAnsi="宋体"/>
        </w:rPr>
        <w:t>（一）图纸资料依据</w:t>
      </w:r>
    </w:p>
    <w:p>
      <w:pPr>
        <w:numPr>
          <w:ilvl w:val="0"/>
          <w:numId w:val="3"/>
        </w:numPr>
        <w:ind w:firstLine="560" w:firstLineChars="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广州市设计院集团有限公司设计的“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空港产业联用中心</w:t>
      </w:r>
      <w:r>
        <w:rPr>
          <w:rFonts w:hint="eastAsia" w:ascii="宋体" w:hAnsi="宋体"/>
          <w:szCs w:val="28"/>
        </w:rPr>
        <w:t>”施工图。</w:t>
      </w:r>
    </w:p>
    <w:p>
      <w:pPr>
        <w:ind w:right="-440" w:rightChars="-157" w:firstLine="562"/>
        <w:rPr>
          <w:rFonts w:ascii="宋体" w:hAnsi="宋体" w:cs="宋体"/>
          <w:b/>
          <w:kern w:val="0"/>
          <w:szCs w:val="27"/>
        </w:rPr>
      </w:pPr>
      <w:r>
        <w:rPr>
          <w:rFonts w:hint="eastAsia" w:ascii="宋体" w:hAnsi="宋体" w:cs="宋体"/>
          <w:b/>
          <w:kern w:val="0"/>
          <w:szCs w:val="27"/>
        </w:rPr>
        <w:t>（二）执行规范及定额</w:t>
      </w:r>
    </w:p>
    <w:p>
      <w:pPr>
        <w:numPr>
          <w:ilvl w:val="0"/>
          <w:numId w:val="4"/>
        </w:numPr>
        <w:ind w:left="0" w:leftChars="0" w:firstLine="560" w:firstLineChars="200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执行《广东省建设工程计价依据》（2018）、《建设工程工程量清单计价规范》（GB50500-2013</w:t>
      </w:r>
      <w:r>
        <w:rPr>
          <w:rFonts w:ascii="宋体" w:hAnsi="宋体"/>
          <w:sz w:val="28"/>
          <w:szCs w:val="28"/>
          <w:highlight w:val="none"/>
        </w:rPr>
        <w:t>）</w:t>
      </w:r>
      <w:r>
        <w:rPr>
          <w:rFonts w:hint="eastAsia" w:ascii="宋体" w:hAnsi="宋体"/>
          <w:sz w:val="28"/>
          <w:szCs w:val="28"/>
          <w:highlight w:val="none"/>
        </w:rPr>
        <w:t>、2018《广东省建筑与装饰工程综合定额》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/>
          <w:sz w:val="28"/>
          <w:szCs w:val="28"/>
          <w:highlight w:val="none"/>
        </w:rPr>
        <w:t>2018《广东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通用安装</w:t>
      </w:r>
      <w:r>
        <w:rPr>
          <w:rFonts w:hint="eastAsia" w:ascii="宋体" w:hAnsi="宋体"/>
          <w:sz w:val="28"/>
          <w:szCs w:val="28"/>
          <w:highlight w:val="none"/>
        </w:rPr>
        <w:t>工程综合定额》；</w:t>
      </w:r>
    </w:p>
    <w:p>
      <w:pPr>
        <w:pStyle w:val="2"/>
        <w:numPr>
          <w:ilvl w:val="0"/>
          <w:numId w:val="4"/>
        </w:numPr>
        <w:ind w:left="0" w:leftChars="0" w:firstLine="560" w:firstLineChars="200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广东省住房和城乡建设厅组织制订的《广东省建设工程概算编制办法》（2014）上册；</w:t>
      </w:r>
    </w:p>
    <w:p>
      <w:pPr>
        <w:pStyle w:val="2"/>
        <w:numPr>
          <w:ilvl w:val="0"/>
          <w:numId w:val="4"/>
        </w:numPr>
        <w:ind w:left="0" w:leftChars="0" w:firstLine="560" w:firstLineChars="200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湛江市住房和城乡建设局及湛江市物价局公布的《湛江市房屋建筑工程经济指标（2022 版）》；</w:t>
      </w:r>
    </w:p>
    <w:p>
      <w:pPr>
        <w:pStyle w:val="2"/>
        <w:numPr>
          <w:ilvl w:val="0"/>
          <w:numId w:val="4"/>
        </w:numPr>
        <w:ind w:left="0" w:leftChars="0" w:firstLine="560" w:firstLineChars="200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《广东省建设工程造价管理规定》（广东省政府令 40 号）；</w:t>
      </w:r>
    </w:p>
    <w:p>
      <w:pPr>
        <w:pStyle w:val="2"/>
        <w:numPr>
          <w:ilvl w:val="0"/>
          <w:numId w:val="4"/>
        </w:numPr>
        <w:ind w:left="0" w:leftChars="0" w:firstLine="560" w:firstLineChars="200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关于印发《基本建设项目建设成本管理规定》的通知（财建[2016]504 号）；</w:t>
      </w:r>
    </w:p>
    <w:p>
      <w:pPr>
        <w:pStyle w:val="2"/>
        <w:numPr>
          <w:ilvl w:val="0"/>
          <w:numId w:val="4"/>
        </w:numPr>
        <w:ind w:left="0" w:leftChars="0" w:firstLine="560" w:firstLineChars="200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《国家计委、国家环境保护总局关于规范环境影响咨询收费有关问题的通知》（[2002]125 号文）；</w:t>
      </w:r>
    </w:p>
    <w:p>
      <w:pPr>
        <w:pStyle w:val="2"/>
        <w:numPr>
          <w:ilvl w:val="0"/>
          <w:numId w:val="4"/>
        </w:numPr>
        <w:ind w:left="0" w:leftChars="0" w:firstLine="560" w:firstLineChars="200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国家发展计划委员会《建设项目前期工作咨询收费暂行规定》（[1999]1283 号文）；</w:t>
      </w:r>
    </w:p>
    <w:p>
      <w:pPr>
        <w:pStyle w:val="2"/>
        <w:numPr>
          <w:ilvl w:val="0"/>
          <w:numId w:val="4"/>
        </w:numPr>
        <w:ind w:left="0" w:leftChars="0" w:firstLine="560" w:firstLineChars="200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《建设工程监理与相关服务收费标准》（[2007]670 号文）；</w:t>
      </w:r>
    </w:p>
    <w:p>
      <w:pPr>
        <w:pStyle w:val="2"/>
        <w:numPr>
          <w:ilvl w:val="0"/>
          <w:numId w:val="4"/>
        </w:numPr>
        <w:ind w:left="0" w:leftChars="0" w:firstLine="560" w:firstLineChars="200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国家计委、建设部《关于发布〈工程勘察设计收费管理规定〉的通知》（计价格[2002]10 号）；</w:t>
      </w:r>
    </w:p>
    <w:p>
      <w:pPr>
        <w:pStyle w:val="2"/>
        <w:numPr>
          <w:ilvl w:val="0"/>
          <w:numId w:val="4"/>
        </w:numPr>
        <w:ind w:left="0" w:leftChars="0" w:firstLine="560" w:firstLineChars="200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国家计委《国家计委关于印发〈招标代理服务收费管理暂行办法〉的通知》（计价格[2002]1980 号）</w:t>
      </w:r>
    </w:p>
    <w:p>
      <w:pPr>
        <w:ind w:right="-440" w:rightChars="-157" w:firstLine="562"/>
        <w:rPr>
          <w:rFonts w:ascii="宋体" w:hAnsi="宋体" w:cs="宋体"/>
          <w:b/>
          <w:kern w:val="0"/>
          <w:szCs w:val="27"/>
        </w:rPr>
      </w:pPr>
      <w:r>
        <w:rPr>
          <w:rFonts w:hint="eastAsia" w:ascii="宋体" w:hAnsi="宋体" w:cs="宋体"/>
          <w:b/>
          <w:kern w:val="0"/>
          <w:szCs w:val="27"/>
        </w:rPr>
        <w:t>（三）材料价格依据及取费标准</w:t>
      </w:r>
    </w:p>
    <w:p>
      <w:pPr>
        <w:pStyle w:val="2"/>
        <w:numPr>
          <w:ilvl w:val="0"/>
          <w:numId w:val="5"/>
        </w:numPr>
        <w:ind w:left="0" w:leftChars="0"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主要材料价格根据《湛江建设工程造价信息》湛江市2022年8月及2022年第二季度湛江市区的材料参考价格，信息价缺项的主要材料按调查的市场价计算。</w:t>
      </w:r>
    </w:p>
    <w:p>
      <w:pPr>
        <w:numPr>
          <w:ilvl w:val="0"/>
          <w:numId w:val="5"/>
        </w:numPr>
        <w:adjustRightInd w:val="0"/>
        <w:ind w:left="0" w:leftChars="0" w:firstLine="560" w:firstLineChars="200"/>
        <w:jc w:val="left"/>
        <w:rPr>
          <w:rFonts w:asciiTheme="minorEastAsia" w:hAnsiTheme="minorEastAsia" w:cstheme="minorEastAsia"/>
          <w:bCs/>
          <w:szCs w:val="28"/>
        </w:rPr>
      </w:pPr>
      <w:r>
        <w:rPr>
          <w:rFonts w:hint="eastAsia" w:asciiTheme="minorEastAsia" w:hAnsiTheme="minorEastAsia" w:cstheme="minorEastAsia"/>
          <w:bCs/>
          <w:szCs w:val="28"/>
        </w:rPr>
        <w:t>人工费：</w:t>
      </w:r>
      <w:r>
        <w:rPr>
          <w:rFonts w:hint="eastAsia" w:ascii="宋体" w:hAnsi="宋体"/>
          <w:bCs/>
          <w:szCs w:val="28"/>
        </w:rPr>
        <w:t>执行《关于调整建设工程定额人工费及计价有关事项的通知》</w:t>
      </w:r>
      <w:r>
        <w:rPr>
          <w:rFonts w:hint="eastAsia" w:asciiTheme="minorEastAsia" w:hAnsiTheme="minorEastAsia" w:cstheme="minorEastAsia"/>
          <w:bCs/>
          <w:szCs w:val="28"/>
        </w:rPr>
        <w:t>。</w:t>
      </w:r>
    </w:p>
    <w:p>
      <w:pPr>
        <w:numPr>
          <w:ilvl w:val="0"/>
          <w:numId w:val="5"/>
        </w:numPr>
        <w:adjustRightInd w:val="0"/>
        <w:ind w:left="0" w:leftChars="0" w:firstLine="560" w:firstLineChars="200"/>
        <w:jc w:val="left"/>
        <w:rPr>
          <w:rFonts w:asciiTheme="minorEastAsia" w:hAnsiTheme="minorEastAsia" w:cstheme="minorEastAsia"/>
          <w:bCs/>
          <w:szCs w:val="28"/>
        </w:rPr>
      </w:pPr>
      <w:r>
        <w:rPr>
          <w:rFonts w:hint="eastAsia" w:asciiTheme="minorEastAsia" w:hAnsiTheme="minorEastAsia" w:cstheme="minorEastAsia"/>
          <w:bCs/>
          <w:szCs w:val="28"/>
        </w:rPr>
        <w:t>管理费：按照定额相关规定计算。</w:t>
      </w:r>
    </w:p>
    <w:p>
      <w:pPr>
        <w:numPr>
          <w:ilvl w:val="0"/>
          <w:numId w:val="5"/>
        </w:numPr>
        <w:adjustRightInd w:val="0"/>
        <w:ind w:left="0" w:leftChars="0" w:firstLine="560" w:firstLineChars="200"/>
        <w:jc w:val="left"/>
        <w:rPr>
          <w:rFonts w:asciiTheme="minorEastAsia" w:hAnsiTheme="minorEastAsia" w:cstheme="minorEastAsia"/>
          <w:bCs/>
          <w:szCs w:val="28"/>
        </w:rPr>
      </w:pPr>
      <w:r>
        <w:rPr>
          <w:rFonts w:hint="eastAsia" w:asciiTheme="minorEastAsia" w:hAnsiTheme="minorEastAsia" w:cstheme="minorEastAsia"/>
          <w:bCs/>
          <w:szCs w:val="28"/>
        </w:rPr>
        <w:t>利润：按照定额相关规定计算。</w:t>
      </w:r>
    </w:p>
    <w:p>
      <w:pPr>
        <w:numPr>
          <w:ilvl w:val="0"/>
          <w:numId w:val="5"/>
        </w:numPr>
        <w:adjustRightInd w:val="0"/>
        <w:ind w:left="0" w:leftChars="0" w:firstLine="560" w:firstLineChars="200"/>
        <w:jc w:val="left"/>
        <w:rPr>
          <w:rFonts w:asciiTheme="minorEastAsia" w:hAnsiTheme="minorEastAsia" w:cstheme="minorEastAsia"/>
          <w:bCs/>
          <w:szCs w:val="28"/>
        </w:rPr>
      </w:pPr>
      <w:r>
        <w:rPr>
          <w:rFonts w:hint="eastAsia" w:asciiTheme="minorEastAsia" w:hAnsiTheme="minorEastAsia" w:cstheme="minorEastAsia"/>
          <w:bCs/>
          <w:szCs w:val="28"/>
        </w:rPr>
        <w:t>措施费：按照定额相关规定计算。</w:t>
      </w:r>
    </w:p>
    <w:p>
      <w:pPr>
        <w:numPr>
          <w:ilvl w:val="0"/>
          <w:numId w:val="5"/>
        </w:numPr>
        <w:adjustRightInd w:val="0"/>
        <w:ind w:left="0" w:leftChars="0" w:firstLine="560" w:firstLineChars="200"/>
        <w:jc w:val="left"/>
        <w:rPr>
          <w:rFonts w:asciiTheme="minorEastAsia" w:hAnsiTheme="minorEastAsia" w:cstheme="minorEastAsia"/>
          <w:bCs/>
          <w:szCs w:val="28"/>
        </w:rPr>
      </w:pPr>
      <w:r>
        <w:rPr>
          <w:rFonts w:hint="eastAsia" w:asciiTheme="minorEastAsia" w:hAnsiTheme="minorEastAsia" w:cstheme="minorEastAsia"/>
          <w:bCs/>
          <w:szCs w:val="28"/>
        </w:rPr>
        <w:t>其他项目费：按照定额相关规定计算。</w:t>
      </w:r>
    </w:p>
    <w:p>
      <w:pPr>
        <w:numPr>
          <w:ilvl w:val="0"/>
          <w:numId w:val="5"/>
        </w:numPr>
        <w:adjustRightInd w:val="0"/>
        <w:ind w:left="0" w:leftChars="0" w:firstLine="560" w:firstLineChars="200"/>
        <w:jc w:val="left"/>
        <w:rPr>
          <w:rFonts w:hint="eastAsia"/>
        </w:rPr>
      </w:pPr>
      <w:r>
        <w:rPr>
          <w:rFonts w:hint="eastAsia" w:asciiTheme="minorEastAsia" w:hAnsiTheme="minorEastAsia" w:cstheme="minorEastAsia"/>
          <w:bCs/>
          <w:szCs w:val="28"/>
        </w:rPr>
        <w:t>增值税销项税额：湛建管【2019】62号“湛江市住房和城乡建设局关于执行《广东省建设工程计价依据（2018）》计价事项的通知”。</w:t>
      </w:r>
    </w:p>
    <w:p>
      <w:pPr>
        <w:ind w:right="-440" w:rightChars="-157" w:firstLine="562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/>
          <w:kern w:val="0"/>
          <w:szCs w:val="27"/>
        </w:rPr>
        <w:t>（</w:t>
      </w:r>
      <w:r>
        <w:rPr>
          <w:rFonts w:hint="eastAsia" w:ascii="宋体" w:hAnsi="宋体" w:cs="宋体"/>
          <w:b/>
          <w:kern w:val="0"/>
          <w:szCs w:val="27"/>
          <w:lang w:val="en-US" w:eastAsia="zh-CN"/>
        </w:rPr>
        <w:t>四</w:t>
      </w:r>
      <w:r>
        <w:rPr>
          <w:rFonts w:hint="eastAsia" w:ascii="宋体" w:hAnsi="宋体" w:cs="宋体"/>
          <w:b/>
          <w:kern w:val="0"/>
          <w:szCs w:val="27"/>
        </w:rPr>
        <w:t>）</w:t>
      </w:r>
      <w:r>
        <w:rPr>
          <w:rFonts w:hint="eastAsia" w:ascii="宋体" w:hAnsi="宋体" w:cs="宋体"/>
          <w:b/>
          <w:kern w:val="0"/>
          <w:szCs w:val="27"/>
          <w:lang w:val="en-US" w:eastAsia="zh-CN"/>
        </w:rPr>
        <w:t>建设项目其它费</w:t>
      </w:r>
      <w:r>
        <w:rPr>
          <w:rFonts w:hint="eastAsia" w:ascii="宋体" w:hAnsi="宋体" w:cs="宋体"/>
          <w:b/>
          <w:kern w:val="0"/>
          <w:szCs w:val="27"/>
        </w:rPr>
        <w:t>依据及取费标准</w:t>
      </w:r>
    </w:p>
    <w:p>
      <w:pPr>
        <w:pStyle w:val="2"/>
        <w:numPr>
          <w:ilvl w:val="0"/>
          <w:numId w:val="6"/>
        </w:numPr>
        <w:ind w:left="0" w:leftChars="0" w:firstLine="560" w:firstLineChars="2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建设项目前期工作咨询费参照粤价[2000]8号采用差额累计法计算，实际金额按市场价格修正；</w:t>
      </w:r>
    </w:p>
    <w:p>
      <w:pPr>
        <w:pStyle w:val="2"/>
        <w:numPr>
          <w:ilvl w:val="0"/>
          <w:numId w:val="6"/>
        </w:numPr>
        <w:ind w:left="0" w:leftChars="0" w:firstLine="560" w:firstLineChars="2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编制及评审环境影响报告表参照计价格[2002]125号计算，实际金额按市场价格修正；</w:t>
      </w:r>
    </w:p>
    <w:p>
      <w:pPr>
        <w:pStyle w:val="2"/>
        <w:numPr>
          <w:ilvl w:val="0"/>
          <w:numId w:val="6"/>
        </w:numPr>
        <w:ind w:left="0" w:leftChars="0" w:firstLine="560" w:firstLineChars="2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建设单位管理费参照财建[2016]504号计算，实际金额按市场价格修正；</w:t>
      </w:r>
    </w:p>
    <w:p>
      <w:pPr>
        <w:pStyle w:val="2"/>
        <w:numPr>
          <w:ilvl w:val="0"/>
          <w:numId w:val="6"/>
        </w:numPr>
        <w:ind w:left="0" w:leftChars="0" w:firstLine="560" w:firstLineChars="2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工程勘察费参照《工程勘察设计收费标准》（计价格[2002]10号文）计算，实际金额按市场价格修正；</w:t>
      </w:r>
    </w:p>
    <w:p>
      <w:pPr>
        <w:pStyle w:val="2"/>
        <w:numPr>
          <w:ilvl w:val="0"/>
          <w:numId w:val="6"/>
        </w:numPr>
        <w:ind w:left="0" w:leftChars="0" w:firstLine="560" w:firstLineChars="2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设计费参照《工程勘察设计收费标准》（计价格[2002]10号文）中《工程设计收费基价表》采用直线内插法计算，实际金额按市场价格修正；</w:t>
      </w:r>
    </w:p>
    <w:p>
      <w:pPr>
        <w:pStyle w:val="2"/>
        <w:numPr>
          <w:ilvl w:val="0"/>
          <w:numId w:val="6"/>
        </w:num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施工图审查费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参照湛价函〔2013〕337号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按设计费及勘察费总和的5%计列；</w:t>
      </w:r>
    </w:p>
    <w:p>
      <w:pPr>
        <w:pStyle w:val="2"/>
        <w:numPr>
          <w:ilvl w:val="0"/>
          <w:numId w:val="6"/>
        </w:num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场地准备费参照《广东省建设工程概算编制办法》（2014）上册的0.3%计列；</w:t>
      </w:r>
    </w:p>
    <w:p>
      <w:pPr>
        <w:pStyle w:val="2"/>
        <w:numPr>
          <w:ilvl w:val="0"/>
          <w:numId w:val="6"/>
        </w:num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工程监理费：按国家发展改革委、建设部《建设工程监理与相关服务收费管理规定》（发改价格[2007]670 号文）进行计列，实际金额按市场价格修正；</w:t>
      </w:r>
    </w:p>
    <w:p>
      <w:pPr>
        <w:pStyle w:val="2"/>
        <w:numPr>
          <w:ilvl w:val="0"/>
          <w:numId w:val="6"/>
        </w:num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工程造价咨询服务费：包括工程概算的编制或审核、工程预算的编制或审核等，参照《广东省建设工程造价咨询服务收费项目和收费标准表（粤价函[2011]742 号文）》，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实际金额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按市场价格修正。</w:t>
      </w:r>
    </w:p>
    <w:p>
      <w:pPr>
        <w:pStyle w:val="2"/>
        <w:numPr>
          <w:ilvl w:val="0"/>
          <w:numId w:val="6"/>
        </w:num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招标代理费：参照《招标代理服务收费管理暂行办法》（计价格〔2002〕1980 号）和发改价[2011]534 号有关计算办法计列、国家发展改革委印发《必须招标的工程项目规定》（国家发展改革委令第 16 号），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实际金额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按市场价格修正；</w:t>
      </w:r>
    </w:p>
    <w:p>
      <w:pPr>
        <w:pStyle w:val="2"/>
        <w:numPr>
          <w:ilvl w:val="0"/>
          <w:numId w:val="6"/>
        </w:num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检验检测费按建安工程费用的 1%计列，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实际金额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按市场价格修正；</w:t>
      </w:r>
    </w:p>
    <w:p>
      <w:pPr>
        <w:pStyle w:val="2"/>
        <w:numPr>
          <w:ilvl w:val="0"/>
          <w:numId w:val="6"/>
        </w:num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白蚁防治费按粤价[2003]370 号计列，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实际金额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按市场价格修正；</w:t>
      </w:r>
    </w:p>
    <w:p>
      <w:pPr>
        <w:pStyle w:val="2"/>
        <w:numPr>
          <w:ilvl w:val="0"/>
          <w:numId w:val="6"/>
        </w:num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建筑施工噪音超标排污费按湛价函[2004]147 号，工期月数1400 元/月；</w:t>
      </w:r>
    </w:p>
    <w:p>
      <w:pPr>
        <w:pStyle w:val="2"/>
        <w:numPr>
          <w:ilvl w:val="0"/>
          <w:numId w:val="6"/>
        </w:num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工程保险费按工程费用的 0.3%计列，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实际金额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按市场价格修正；</w:t>
      </w:r>
    </w:p>
    <w:p>
      <w:pPr>
        <w:pStyle w:val="3"/>
        <w:rPr>
          <w:rFonts w:hint="eastAsia"/>
          <w:szCs w:val="28"/>
        </w:rPr>
      </w:pPr>
      <w:r>
        <w:rPr>
          <w:rFonts w:hint="eastAsia"/>
          <w:szCs w:val="28"/>
        </w:rPr>
        <w:t>审核结果</w:t>
      </w:r>
    </w:p>
    <w:p>
      <w:pPr>
        <w:adjustRightInd w:val="0"/>
        <w:ind w:firstLine="560"/>
        <w:jc w:val="left"/>
        <w:rPr>
          <w:rFonts w:asciiTheme="minorEastAsia" w:hAnsiTheme="minorEastAsia" w:cstheme="minorEastAsia"/>
          <w:bCs/>
          <w:szCs w:val="28"/>
        </w:rPr>
      </w:pPr>
      <w:r>
        <w:rPr>
          <w:rFonts w:hint="eastAsia" w:asciiTheme="minorEastAsia" w:hAnsiTheme="minorEastAsia" w:cstheme="minorEastAsia"/>
          <w:bCs/>
          <w:szCs w:val="28"/>
        </w:rPr>
        <w:t>1.送审金额：</w:t>
      </w:r>
      <w:r>
        <w:rPr>
          <w:rFonts w:hint="eastAsia" w:asciiTheme="minorEastAsia" w:hAnsiTheme="minorEastAsia" w:cstheme="minorEastAsia"/>
          <w:bCs/>
          <w:szCs w:val="28"/>
          <w:lang w:val="en-US" w:eastAsia="zh-CN"/>
        </w:rPr>
        <w:t>12447500.00</w:t>
      </w:r>
      <w:r>
        <w:rPr>
          <w:rFonts w:hint="eastAsia" w:asciiTheme="minorEastAsia" w:hAnsiTheme="minorEastAsia" w:cstheme="minorEastAsia"/>
          <w:bCs/>
          <w:szCs w:val="28"/>
        </w:rPr>
        <w:t>元。</w:t>
      </w:r>
    </w:p>
    <w:p>
      <w:pPr>
        <w:adjustRightInd w:val="0"/>
        <w:ind w:firstLine="560"/>
        <w:jc w:val="left"/>
        <w:rPr>
          <w:rFonts w:asciiTheme="minorEastAsia" w:hAnsiTheme="minorEastAsia" w:cstheme="minorEastAsia"/>
          <w:bCs/>
          <w:szCs w:val="28"/>
        </w:rPr>
      </w:pPr>
      <w:r>
        <w:rPr>
          <w:rFonts w:hint="eastAsia" w:asciiTheme="minorEastAsia" w:hAnsiTheme="minorEastAsia" w:cstheme="minorEastAsia"/>
          <w:bCs/>
          <w:szCs w:val="28"/>
        </w:rPr>
        <w:t>2.审定金额：</w:t>
      </w:r>
      <w:r>
        <w:rPr>
          <w:rFonts w:hint="eastAsia" w:asciiTheme="minorEastAsia" w:hAnsiTheme="minorEastAsia" w:cstheme="minorEastAsia"/>
          <w:bCs/>
          <w:szCs w:val="28"/>
          <w:lang w:val="en-US" w:eastAsia="zh-CN"/>
        </w:rPr>
        <w:t>11714877.90</w:t>
      </w:r>
      <w:r>
        <w:rPr>
          <w:rFonts w:hint="eastAsia" w:asciiTheme="minorEastAsia" w:hAnsiTheme="minorEastAsia" w:cstheme="minorEastAsia"/>
          <w:bCs/>
          <w:szCs w:val="28"/>
        </w:rPr>
        <w:t>元。</w:t>
      </w:r>
    </w:p>
    <w:p>
      <w:pPr>
        <w:adjustRightInd w:val="0"/>
        <w:ind w:firstLine="560"/>
        <w:jc w:val="left"/>
        <w:rPr>
          <w:rFonts w:asciiTheme="minorEastAsia" w:hAnsiTheme="minorEastAsia" w:cstheme="minorEastAsia"/>
          <w:bCs/>
          <w:szCs w:val="28"/>
        </w:rPr>
      </w:pPr>
      <w:r>
        <w:rPr>
          <w:rFonts w:hint="eastAsia" w:asciiTheme="minorEastAsia" w:hAnsiTheme="minorEastAsia" w:cstheme="minorEastAsia"/>
          <w:bCs/>
          <w:szCs w:val="28"/>
        </w:rPr>
        <w:t>3.核减金额：</w:t>
      </w:r>
      <w:r>
        <w:rPr>
          <w:rFonts w:hint="eastAsia" w:asciiTheme="minorEastAsia" w:hAnsiTheme="minorEastAsia" w:cstheme="minorEastAsia"/>
          <w:bCs/>
          <w:szCs w:val="28"/>
          <w:lang w:val="en-US" w:eastAsia="zh-CN"/>
        </w:rPr>
        <w:t>732612.10元</w:t>
      </w:r>
      <w:r>
        <w:rPr>
          <w:rFonts w:hint="eastAsia" w:asciiTheme="minorEastAsia" w:hAnsiTheme="minorEastAsia" w:cstheme="minorEastAsia"/>
          <w:bCs/>
          <w:szCs w:val="28"/>
        </w:rPr>
        <w:t>。</w:t>
      </w:r>
    </w:p>
    <w:p>
      <w:pPr>
        <w:adjustRightInd w:val="0"/>
        <w:ind w:firstLine="560"/>
        <w:jc w:val="left"/>
        <w:rPr>
          <w:rFonts w:asciiTheme="minorEastAsia" w:hAnsiTheme="minorEastAsia" w:cstheme="minorEastAsia"/>
          <w:bCs/>
          <w:szCs w:val="28"/>
        </w:rPr>
      </w:pPr>
      <w:r>
        <w:rPr>
          <w:rFonts w:hint="eastAsia" w:asciiTheme="minorEastAsia" w:hAnsiTheme="minorEastAsia" w:cstheme="minorEastAsia"/>
          <w:bCs/>
          <w:szCs w:val="28"/>
        </w:rPr>
        <w:t>4.核减率：</w:t>
      </w:r>
      <w:r>
        <w:rPr>
          <w:rFonts w:hint="eastAsia" w:asciiTheme="minorEastAsia" w:hAnsiTheme="minorEastAsia" w:cstheme="minorEastAsia"/>
          <w:bCs/>
          <w:szCs w:val="28"/>
          <w:lang w:val="en-US" w:eastAsia="zh-CN"/>
        </w:rPr>
        <w:t>5.89</w:t>
      </w:r>
      <w:r>
        <w:rPr>
          <w:rFonts w:hint="eastAsia" w:asciiTheme="minorEastAsia" w:hAnsiTheme="minorEastAsia" w:cstheme="minorEastAsia"/>
          <w:bCs/>
          <w:szCs w:val="28"/>
        </w:rPr>
        <w:t>%。</w:t>
      </w:r>
    </w:p>
    <w:p>
      <w:pPr>
        <w:pStyle w:val="3"/>
      </w:pPr>
      <w:r>
        <w:rPr>
          <w:rFonts w:hint="eastAsia"/>
          <w:szCs w:val="28"/>
        </w:rPr>
        <w:t>核减（增）原因分析</w:t>
      </w:r>
    </w:p>
    <w:p>
      <w:pPr>
        <w:numPr>
          <w:ilvl w:val="0"/>
          <w:numId w:val="7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空港产业联用中心-建筑工程部分，</w:t>
      </w:r>
      <w:r>
        <w:rPr>
          <w:rFonts w:hint="eastAsia" w:ascii="宋体" w:hAnsi="宋体"/>
          <w:sz w:val="28"/>
          <w:szCs w:val="28"/>
          <w:lang w:val="en-US" w:eastAsia="zh-CN"/>
        </w:rPr>
        <w:t>送审金额为609万</w:t>
      </w:r>
      <w:r>
        <w:rPr>
          <w:rFonts w:hint="eastAsia" w:ascii="宋体" w:hAnsi="宋体"/>
          <w:sz w:val="28"/>
          <w:highlight w:val="none"/>
        </w:rPr>
        <w:t>元</w:t>
      </w:r>
      <w:r>
        <w:rPr>
          <w:rFonts w:hint="eastAsia" w:ascii="宋体" w:hAnsi="宋体"/>
          <w:sz w:val="28"/>
          <w:szCs w:val="28"/>
          <w:lang w:val="en-US" w:eastAsia="zh-CN"/>
        </w:rPr>
        <w:t>，审核金额为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635.18万</w:t>
      </w:r>
      <w:r>
        <w:rPr>
          <w:rFonts w:hint="eastAsia" w:ascii="宋体" w:hAnsi="宋体"/>
          <w:sz w:val="28"/>
          <w:highlight w:val="none"/>
          <w:lang w:val="en-US" w:eastAsia="zh-CN"/>
        </w:rPr>
        <w:t>元</w:t>
      </w:r>
      <w:r>
        <w:rPr>
          <w:rFonts w:hint="eastAsia" w:ascii="宋体" w:hAnsi="宋体"/>
          <w:sz w:val="28"/>
          <w:szCs w:val="28"/>
          <w:lang w:val="en-US" w:eastAsia="zh-CN"/>
        </w:rPr>
        <w:t>，核增金额约26.18万元；</w:t>
      </w:r>
    </w:p>
    <w:p>
      <w:pPr>
        <w:numPr>
          <w:ilvl w:val="0"/>
          <w:numId w:val="7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空港产业联用中心-室内安装工程，</w:t>
      </w:r>
      <w:r>
        <w:rPr>
          <w:rFonts w:hint="eastAsia" w:ascii="宋体" w:hAnsi="宋体"/>
          <w:sz w:val="28"/>
          <w:szCs w:val="28"/>
          <w:lang w:val="en-US" w:eastAsia="zh-CN"/>
        </w:rPr>
        <w:t>送审金额为110万</w:t>
      </w:r>
      <w:r>
        <w:rPr>
          <w:rFonts w:hint="eastAsia" w:ascii="宋体" w:hAnsi="宋体"/>
          <w:sz w:val="28"/>
          <w:highlight w:val="none"/>
        </w:rPr>
        <w:t>元</w:t>
      </w:r>
      <w:r>
        <w:rPr>
          <w:rFonts w:hint="eastAsia" w:ascii="宋体" w:hAnsi="宋体"/>
          <w:sz w:val="28"/>
          <w:szCs w:val="28"/>
          <w:lang w:val="en-US" w:eastAsia="zh-CN"/>
        </w:rPr>
        <w:t>，审核金额为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80.01万</w:t>
      </w:r>
      <w:r>
        <w:rPr>
          <w:rFonts w:hint="eastAsia" w:ascii="宋体" w:hAnsi="宋体"/>
          <w:sz w:val="28"/>
          <w:highlight w:val="none"/>
          <w:lang w:val="en-US" w:eastAsia="zh-CN"/>
        </w:rPr>
        <w:t>元</w:t>
      </w:r>
      <w:r>
        <w:rPr>
          <w:rFonts w:hint="eastAsia" w:ascii="宋体" w:hAnsi="宋体"/>
          <w:sz w:val="28"/>
          <w:szCs w:val="28"/>
          <w:lang w:val="en-US" w:eastAsia="zh-CN"/>
        </w:rPr>
        <w:t>，核减金额约29.99万元；</w:t>
      </w:r>
    </w:p>
    <w:p>
      <w:pPr>
        <w:numPr>
          <w:ilvl w:val="0"/>
          <w:numId w:val="7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空港产业联用中心-室外安装工程，</w:t>
      </w:r>
      <w:r>
        <w:rPr>
          <w:rFonts w:hint="eastAsia" w:ascii="宋体" w:hAnsi="宋体"/>
          <w:sz w:val="28"/>
          <w:szCs w:val="28"/>
          <w:lang w:val="en-US" w:eastAsia="zh-CN"/>
        </w:rPr>
        <w:t>送审金额为0万</w:t>
      </w:r>
      <w:r>
        <w:rPr>
          <w:rFonts w:hint="eastAsia" w:ascii="宋体" w:hAnsi="宋体"/>
          <w:sz w:val="28"/>
          <w:highlight w:val="none"/>
        </w:rPr>
        <w:t>元</w:t>
      </w:r>
      <w:r>
        <w:rPr>
          <w:rFonts w:hint="eastAsia" w:ascii="宋体" w:hAnsi="宋体"/>
          <w:sz w:val="28"/>
          <w:szCs w:val="28"/>
          <w:lang w:val="en-US" w:eastAsia="zh-CN"/>
        </w:rPr>
        <w:t>，审核金额为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44.24万</w:t>
      </w:r>
      <w:r>
        <w:rPr>
          <w:rFonts w:hint="eastAsia" w:ascii="宋体" w:hAnsi="宋体"/>
          <w:sz w:val="28"/>
          <w:highlight w:val="none"/>
          <w:lang w:val="en-US" w:eastAsia="zh-CN"/>
        </w:rPr>
        <w:t>元</w:t>
      </w:r>
      <w:r>
        <w:rPr>
          <w:rFonts w:hint="eastAsia" w:ascii="宋体" w:hAnsi="宋体"/>
          <w:sz w:val="28"/>
          <w:szCs w:val="28"/>
          <w:lang w:val="en-US" w:eastAsia="zh-CN"/>
        </w:rPr>
        <w:t>，核增金额约44.24万元；</w:t>
      </w:r>
    </w:p>
    <w:p>
      <w:pPr>
        <w:numPr>
          <w:ilvl w:val="0"/>
          <w:numId w:val="7"/>
        </w:numPr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空港产业联用中心-精装修工程，送审金额为260.32万元，审核金额为122.10万</w:t>
      </w:r>
      <w:r>
        <w:rPr>
          <w:rFonts w:hint="eastAsia" w:ascii="宋体" w:hAnsi="宋体"/>
          <w:sz w:val="28"/>
          <w:highlight w:val="none"/>
          <w:lang w:val="en-US" w:eastAsia="zh-CN"/>
        </w:rPr>
        <w:t>元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，核减金额约138.22万元；</w:t>
      </w:r>
    </w:p>
    <w:p>
      <w:pPr>
        <w:numPr>
          <w:ilvl w:val="0"/>
          <w:numId w:val="7"/>
        </w:numPr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空港产业联用中心-室外园林绿化工程，送审金额为0万元，审核金额为27.25万元，核增金额约27.25万元；</w:t>
      </w:r>
      <w:bookmarkStart w:id="0" w:name="_GoBack"/>
      <w:bookmarkEnd w:id="0"/>
    </w:p>
    <w:p>
      <w:pPr>
        <w:rPr>
          <w:rFonts w:hint="default" w:eastAsia="宋体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/>
          <w:szCs w:val="28"/>
        </w:rPr>
      </w:pPr>
    </w:p>
    <w:p>
      <w:pPr>
        <w:ind w:left="0" w:leftChars="0" w:right="-440" w:rightChars="-157" w:firstLine="0" w:firstLineChars="0"/>
        <w:rPr>
          <w:rFonts w:hint="default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  <w:t>五、其他说明</w:t>
      </w:r>
    </w:p>
    <w:p>
      <w:pPr>
        <w:pStyle w:val="14"/>
        <w:widowControl/>
        <w:numPr>
          <w:ilvl w:val="0"/>
          <w:numId w:val="0"/>
        </w:numPr>
        <w:spacing w:before="0" w:beforeAutospacing="0" w:after="0" w:afterAutospacing="0"/>
        <w:ind w:left="420" w:left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1.根据业主文件要求，本项目概算审核根据业主提供的工程量，仅对价格部分进行审核，最后按实调整。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  <w:jc w:val="center"/>
    </w:pPr>
  </w:p>
  <w:p>
    <w:pPr>
      <w:pStyle w:val="12"/>
      <w:ind w:firstLine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  <w:ind w:firstLine="560"/>
                            <w:jc w:val="center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  <w:ind w:firstLine="56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>中正厚德  量才精业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0" w:firstLineChars="0"/>
      <w:jc w:val="left"/>
    </w:pPr>
    <w:r>
      <w:rPr>
        <w:rFonts w:hint="eastAsia"/>
      </w:rPr>
      <w:drawing>
        <wp:inline distT="0" distB="0" distL="114300" distR="114300">
          <wp:extent cx="1816735" cy="386715"/>
          <wp:effectExtent l="0" t="0" r="12065" b="13335"/>
          <wp:docPr id="2" name="图片 2" descr="组合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组合4"/>
                  <pic:cNvPicPr>
                    <a:picLocks noChangeAspect="1"/>
                  </pic:cNvPicPr>
                </pic:nvPicPr>
                <pic:blipFill>
                  <a:blip r:embed="rId1"/>
                  <a:srcRect l="12099" t="9191" r="12561" b="10776"/>
                  <a:stretch>
                    <a:fillRect/>
                  </a:stretch>
                </pic:blipFill>
                <pic:spPr>
                  <a:xfrm>
                    <a:off x="0" y="0"/>
                    <a:ext cx="1816735" cy="386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firstLine="0" w:firstLineChars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4AC6D1"/>
    <w:multiLevelType w:val="singleLevel"/>
    <w:tmpl w:val="934AC6D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9D3C6983"/>
    <w:multiLevelType w:val="singleLevel"/>
    <w:tmpl w:val="9D3C698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BCCEDFE8"/>
    <w:multiLevelType w:val="singleLevel"/>
    <w:tmpl w:val="BCCEDFE8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CFAB262E"/>
    <w:multiLevelType w:val="singleLevel"/>
    <w:tmpl w:val="CFAB262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D49BE32C"/>
    <w:multiLevelType w:val="singleLevel"/>
    <w:tmpl w:val="D49BE32C"/>
    <w:lvl w:ilvl="0" w:tentative="0">
      <w:start w:val="1"/>
      <w:numFmt w:val="decimal"/>
      <w:suff w:val="nothing"/>
      <w:lvlText w:val="%1."/>
      <w:lvlJc w:val="left"/>
      <w:pPr>
        <w:ind w:left="0" w:firstLine="397"/>
      </w:pPr>
      <w:rPr>
        <w:rFonts w:hint="default" w:ascii="宋体" w:hAnsi="宋体" w:eastAsia="宋体" w:cs="宋体"/>
        <w:sz w:val="28"/>
        <w:szCs w:val="28"/>
      </w:rPr>
    </w:lvl>
  </w:abstractNum>
  <w:abstractNum w:abstractNumId="5">
    <w:nsid w:val="2CCE7D0B"/>
    <w:multiLevelType w:val="multilevel"/>
    <w:tmpl w:val="2CCE7D0B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4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5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6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7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8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9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10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1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6">
    <w:nsid w:val="47C1B4DE"/>
    <w:multiLevelType w:val="singleLevel"/>
    <w:tmpl w:val="47C1B4D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1NjgxYWM3MmI5NzQ5YjI1ODYyMDNiMDViNTRhMDgifQ=="/>
  </w:docVars>
  <w:rsids>
    <w:rsidRoot w:val="00172A27"/>
    <w:rsid w:val="000B19AD"/>
    <w:rsid w:val="00172A27"/>
    <w:rsid w:val="001C2216"/>
    <w:rsid w:val="002D2B51"/>
    <w:rsid w:val="00487170"/>
    <w:rsid w:val="006551C4"/>
    <w:rsid w:val="00AA30E9"/>
    <w:rsid w:val="00BB0CBB"/>
    <w:rsid w:val="00C05B9A"/>
    <w:rsid w:val="00D6460C"/>
    <w:rsid w:val="00E32FA7"/>
    <w:rsid w:val="024B54C0"/>
    <w:rsid w:val="03375B01"/>
    <w:rsid w:val="04DA32E7"/>
    <w:rsid w:val="097C30AF"/>
    <w:rsid w:val="0A20501F"/>
    <w:rsid w:val="0A314E36"/>
    <w:rsid w:val="0AB75CD0"/>
    <w:rsid w:val="0B2E0D7C"/>
    <w:rsid w:val="0C425831"/>
    <w:rsid w:val="0DB74E46"/>
    <w:rsid w:val="0F4E6759"/>
    <w:rsid w:val="10626850"/>
    <w:rsid w:val="113B256B"/>
    <w:rsid w:val="12535DF3"/>
    <w:rsid w:val="12DD4BD2"/>
    <w:rsid w:val="13CD70D5"/>
    <w:rsid w:val="13EC7D20"/>
    <w:rsid w:val="140B464A"/>
    <w:rsid w:val="143A32A2"/>
    <w:rsid w:val="17D63778"/>
    <w:rsid w:val="181177D9"/>
    <w:rsid w:val="18420856"/>
    <w:rsid w:val="189C08D6"/>
    <w:rsid w:val="18FF4051"/>
    <w:rsid w:val="19006747"/>
    <w:rsid w:val="19E34F90"/>
    <w:rsid w:val="1A3B555D"/>
    <w:rsid w:val="1B925650"/>
    <w:rsid w:val="1BE353CB"/>
    <w:rsid w:val="1C213AE0"/>
    <w:rsid w:val="1D7C419B"/>
    <w:rsid w:val="1D96102F"/>
    <w:rsid w:val="1F2E5690"/>
    <w:rsid w:val="1F45725F"/>
    <w:rsid w:val="1FE83A91"/>
    <w:rsid w:val="21621FDB"/>
    <w:rsid w:val="23654640"/>
    <w:rsid w:val="23691AEC"/>
    <w:rsid w:val="23B219BA"/>
    <w:rsid w:val="25ED0689"/>
    <w:rsid w:val="25FC0296"/>
    <w:rsid w:val="26CE23C7"/>
    <w:rsid w:val="279702A8"/>
    <w:rsid w:val="2A1D2FC2"/>
    <w:rsid w:val="2A692D8C"/>
    <w:rsid w:val="2A7521CF"/>
    <w:rsid w:val="2E3E4702"/>
    <w:rsid w:val="2E603BCB"/>
    <w:rsid w:val="2EB65829"/>
    <w:rsid w:val="2EF91817"/>
    <w:rsid w:val="2EFD0590"/>
    <w:rsid w:val="334A3A04"/>
    <w:rsid w:val="36A93B22"/>
    <w:rsid w:val="38BB2EE9"/>
    <w:rsid w:val="397A79F8"/>
    <w:rsid w:val="3CA07775"/>
    <w:rsid w:val="3D5F0E57"/>
    <w:rsid w:val="3E8C6495"/>
    <w:rsid w:val="4058304D"/>
    <w:rsid w:val="42EB272F"/>
    <w:rsid w:val="45AD272F"/>
    <w:rsid w:val="470B6B20"/>
    <w:rsid w:val="4962011A"/>
    <w:rsid w:val="4A78588E"/>
    <w:rsid w:val="4AD82C70"/>
    <w:rsid w:val="4D254C41"/>
    <w:rsid w:val="511147B8"/>
    <w:rsid w:val="51782744"/>
    <w:rsid w:val="51A00283"/>
    <w:rsid w:val="523A13C9"/>
    <w:rsid w:val="52777E26"/>
    <w:rsid w:val="54694499"/>
    <w:rsid w:val="56116A28"/>
    <w:rsid w:val="56982E14"/>
    <w:rsid w:val="572F67A7"/>
    <w:rsid w:val="57ED228D"/>
    <w:rsid w:val="58773629"/>
    <w:rsid w:val="58C5544D"/>
    <w:rsid w:val="5D5201C0"/>
    <w:rsid w:val="5F5F6BC4"/>
    <w:rsid w:val="5FDC6467"/>
    <w:rsid w:val="60244C3C"/>
    <w:rsid w:val="609277B0"/>
    <w:rsid w:val="624F6C5A"/>
    <w:rsid w:val="629B6E10"/>
    <w:rsid w:val="65984BDE"/>
    <w:rsid w:val="65ED6CD8"/>
    <w:rsid w:val="65F31BDB"/>
    <w:rsid w:val="66B63896"/>
    <w:rsid w:val="675F5CDF"/>
    <w:rsid w:val="67C30030"/>
    <w:rsid w:val="67F7769C"/>
    <w:rsid w:val="684D55E2"/>
    <w:rsid w:val="6E440737"/>
    <w:rsid w:val="6E8F1E19"/>
    <w:rsid w:val="6FFB7AAC"/>
    <w:rsid w:val="703A05C5"/>
    <w:rsid w:val="703E3D39"/>
    <w:rsid w:val="71440500"/>
    <w:rsid w:val="71B479B2"/>
    <w:rsid w:val="72B654B0"/>
    <w:rsid w:val="73005444"/>
    <w:rsid w:val="737B49E1"/>
    <w:rsid w:val="751D2A0A"/>
    <w:rsid w:val="76AB5E00"/>
    <w:rsid w:val="770D74D2"/>
    <w:rsid w:val="7736177B"/>
    <w:rsid w:val="788D434B"/>
    <w:rsid w:val="790E0FE8"/>
    <w:rsid w:val="7B1642A6"/>
    <w:rsid w:val="7D755AD9"/>
    <w:rsid w:val="7DC40AFA"/>
    <w:rsid w:val="7F3C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120" w:after="120"/>
      <w:ind w:firstLineChars="0"/>
      <w:outlineLvl w:val="0"/>
    </w:pPr>
    <w:rPr>
      <w:b/>
      <w:bCs/>
      <w:kern w:val="44"/>
      <w:szCs w:val="4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numPr>
        <w:ilvl w:val="1"/>
        <w:numId w:val="1"/>
      </w:numPr>
      <w:spacing w:before="260" w:after="260" w:line="413" w:lineRule="auto"/>
      <w:ind w:firstLineChars="0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semiHidden/>
    <w:unhideWhenUsed/>
    <w:qFormat/>
    <w:uiPriority w:val="9"/>
    <w:pPr>
      <w:numPr>
        <w:ilvl w:val="2"/>
        <w:numId w:val="1"/>
      </w:numPr>
      <w:spacing w:before="50" w:beforeLines="50" w:after="50" w:afterLines="50"/>
      <w:ind w:firstLineChars="0"/>
      <w:jc w:val="left"/>
      <w:outlineLvl w:val="2"/>
    </w:pPr>
    <w:rPr>
      <w:rFonts w:hint="eastAsia" w:cs="宋体"/>
      <w:b/>
      <w:kern w:val="0"/>
      <w:szCs w:val="27"/>
    </w:rPr>
  </w:style>
  <w:style w:type="paragraph" w:styleId="6">
    <w:name w:val="heading 4"/>
    <w:basedOn w:val="1"/>
    <w:next w:val="1"/>
    <w:semiHidden/>
    <w:unhideWhenUsed/>
    <w:qFormat/>
    <w:uiPriority w:val="9"/>
    <w:pPr>
      <w:keepNext/>
      <w:keepLines/>
      <w:numPr>
        <w:ilvl w:val="3"/>
        <w:numId w:val="1"/>
      </w:numPr>
      <w:spacing w:before="280" w:after="290" w:line="372" w:lineRule="auto"/>
      <w:ind w:firstLineChars="0"/>
      <w:outlineLvl w:val="3"/>
    </w:pPr>
    <w:rPr>
      <w:rFonts w:ascii="Arial" w:hAnsi="Arial" w:eastAsia="黑体"/>
      <w:b/>
    </w:rPr>
  </w:style>
  <w:style w:type="paragraph" w:styleId="7">
    <w:name w:val="heading 5"/>
    <w:basedOn w:val="1"/>
    <w:next w:val="1"/>
    <w:semiHidden/>
    <w:unhideWhenUsed/>
    <w:qFormat/>
    <w:uiPriority w:val="9"/>
    <w:pPr>
      <w:keepNext/>
      <w:keepLines/>
      <w:numPr>
        <w:ilvl w:val="4"/>
        <w:numId w:val="1"/>
      </w:numPr>
      <w:spacing w:before="280" w:after="290" w:line="372" w:lineRule="auto"/>
      <w:ind w:firstLineChars="0"/>
      <w:outlineLvl w:val="4"/>
    </w:pPr>
    <w:rPr>
      <w:b/>
    </w:rPr>
  </w:style>
  <w:style w:type="paragraph" w:styleId="8">
    <w:name w:val="heading 6"/>
    <w:basedOn w:val="1"/>
    <w:next w:val="1"/>
    <w:semiHidden/>
    <w:unhideWhenUsed/>
    <w:qFormat/>
    <w:uiPriority w:val="9"/>
    <w:pPr>
      <w:keepNext/>
      <w:keepLines/>
      <w:numPr>
        <w:ilvl w:val="5"/>
        <w:numId w:val="1"/>
      </w:numPr>
      <w:spacing w:before="240" w:after="64" w:line="317" w:lineRule="auto"/>
      <w:ind w:firstLineChars="0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9"/>
    <w:pPr>
      <w:keepNext/>
      <w:keepLines/>
      <w:numPr>
        <w:ilvl w:val="6"/>
        <w:numId w:val="1"/>
      </w:numPr>
      <w:spacing w:before="240" w:after="64" w:line="317" w:lineRule="auto"/>
      <w:ind w:firstLineChars="0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9"/>
    <w:pPr>
      <w:keepNext/>
      <w:keepLines/>
      <w:numPr>
        <w:ilvl w:val="7"/>
        <w:numId w:val="1"/>
      </w:numPr>
      <w:spacing w:before="240" w:after="64" w:line="317" w:lineRule="auto"/>
      <w:ind w:firstLineChars="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9"/>
    <w:pPr>
      <w:keepNext/>
      <w:keepLines/>
      <w:numPr>
        <w:ilvl w:val="8"/>
        <w:numId w:val="1"/>
      </w:numPr>
      <w:spacing w:before="240" w:after="64" w:line="317" w:lineRule="auto"/>
      <w:ind w:firstLineChars="0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rPr>
      <w:rFonts w:eastAsia="仿宋_GB2312"/>
      <w:sz w:val="30"/>
    </w:rPr>
  </w:style>
  <w:style w:type="paragraph" w:styleId="1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14">
    <w:name w:val="Normal (Web)"/>
    <w:basedOn w:val="1"/>
    <w:semiHidden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7">
    <w:name w:val="page number"/>
    <w:basedOn w:val="16"/>
    <w:semiHidden/>
    <w:unhideWhenUsed/>
    <w:qFormat/>
    <w:uiPriority w:val="99"/>
  </w:style>
  <w:style w:type="paragraph" w:customStyle="1" w:styleId="18">
    <w:name w:val="分类号"/>
    <w:basedOn w:val="1"/>
    <w:qFormat/>
    <w:uiPriority w:val="0"/>
    <w:pPr>
      <w:spacing w:line="240" w:lineRule="auto"/>
      <w:ind w:firstLine="0" w:firstLineChars="0"/>
    </w:pPr>
    <w:rPr>
      <w:rFonts w:ascii="仿宋_GB2312" w:hAnsi="Times New Roman" w:eastAsia="仿宋_GB2312"/>
      <w:szCs w:val="28"/>
    </w:rPr>
  </w:style>
  <w:style w:type="paragraph" w:customStyle="1" w:styleId="19">
    <w:name w:val="封面日期"/>
    <w:basedOn w:val="1"/>
    <w:qFormat/>
    <w:uiPriority w:val="0"/>
    <w:pPr>
      <w:spacing w:line="240" w:lineRule="auto"/>
      <w:ind w:firstLine="0" w:firstLineChars="0"/>
      <w:jc w:val="center"/>
    </w:pPr>
    <w:rPr>
      <w:rFonts w:ascii="黑体" w:hAnsi="Times New Roman" w:eastAsia="黑体"/>
      <w:sz w:val="32"/>
      <w:szCs w:val="32"/>
    </w:rPr>
  </w:style>
  <w:style w:type="paragraph" w:customStyle="1" w:styleId="20">
    <w:name w:val="论文标题"/>
    <w:basedOn w:val="1"/>
    <w:qFormat/>
    <w:uiPriority w:val="0"/>
    <w:pPr>
      <w:spacing w:line="240" w:lineRule="auto"/>
      <w:ind w:firstLine="0" w:firstLineChars="0"/>
      <w:jc w:val="center"/>
    </w:pPr>
    <w:rPr>
      <w:rFonts w:ascii="Times New Roman" w:hAnsi="Times New Roman" w:eastAsia="楷体_GB2312"/>
      <w:b/>
      <w:kern w:val="36"/>
      <w:sz w:val="52"/>
      <w:szCs w:val="52"/>
    </w:rPr>
  </w:style>
  <w:style w:type="paragraph" w:customStyle="1" w:styleId="21">
    <w:name w:val="硕士学位论文"/>
    <w:basedOn w:val="1"/>
    <w:qFormat/>
    <w:uiPriority w:val="0"/>
    <w:pPr>
      <w:spacing w:before="240" w:line="240" w:lineRule="auto"/>
      <w:ind w:firstLine="0" w:firstLineChars="0"/>
      <w:jc w:val="center"/>
    </w:pPr>
    <w:rPr>
      <w:rFonts w:ascii="Times New Roman" w:hAnsi="Times New Roman"/>
      <w:sz w:val="44"/>
      <w:szCs w:val="44"/>
    </w:rPr>
  </w:style>
  <w:style w:type="paragraph" w:customStyle="1" w:styleId="22">
    <w:name w:val="研究生姓名"/>
    <w:basedOn w:val="1"/>
    <w:qFormat/>
    <w:uiPriority w:val="0"/>
    <w:pPr>
      <w:spacing w:line="240" w:lineRule="auto"/>
      <w:ind w:firstLine="700" w:firstLineChars="700"/>
    </w:pPr>
    <w:rPr>
      <w:rFonts w:ascii="Times New Roman" w:hAnsi="Times New Roman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2033</Words>
  <Characters>2322</Characters>
  <Lines>28</Lines>
  <Paragraphs>8</Paragraphs>
  <TotalTime>163</TotalTime>
  <ScaleCrop>false</ScaleCrop>
  <LinksUpToDate>false</LinksUpToDate>
  <CharactersWithSpaces>2345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WPS_1599276759</cp:lastModifiedBy>
  <dcterms:modified xsi:type="dcterms:W3CDTF">2022-12-10T05:35:09Z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C1D6F25CF7784225BAEC5B9A9581EA25</vt:lpwstr>
  </property>
</Properties>
</file>